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/>
      <w:sdtContent>
        <w:p w14:paraId="39983F60" w14:textId="718384FE" w:rsidR="00AD7FB7" w:rsidRPr="000C4BFE" w:rsidRDefault="000C4BFE" w:rsidP="00B147A5">
          <w:pPr>
            <w:tabs>
              <w:tab w:val="left" w:pos="4111"/>
            </w:tabs>
            <w:jc w:val="right"/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="005869A5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Załącznik nr 2a</w:t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 do </w:t>
          </w:r>
          <w:r w:rsidR="005869A5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SIWZ</w:t>
          </w:r>
        </w:p>
        <w:p w14:paraId="08925932" w14:textId="45CC8F90" w:rsidR="00C83C55" w:rsidRPr="00DA5AF6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6F475DFF" w:rsidR="00C83C55" w:rsidRPr="00DA5AF6" w:rsidRDefault="00146C02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 xml:space="preserve">Komputer stacjonarny </w:t>
          </w:r>
          <w:r w:rsidR="00BC20A7">
            <w:rPr>
              <w:rFonts w:ascii="Century Gothic" w:hAnsi="Century Gothic"/>
              <w:b w:val="0"/>
              <w:sz w:val="36"/>
              <w:szCs w:val="36"/>
            </w:rPr>
            <w:t>do zastosowań CAD/CAM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C83C55" w:rsidRPr="00742B96" w14:paraId="61996F45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A12A03" w:rsidRDefault="00C83C55" w:rsidP="00A12A0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05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07ACB56C" w:rsidR="00C83C55" w:rsidRPr="00A12A03" w:rsidRDefault="009C7CF3" w:rsidP="009C7CF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Wymagane parametry</w:t>
                </w:r>
              </w:p>
            </w:tc>
          </w:tr>
          <w:tr w:rsidR="00C83C55" w:rsidRPr="00742B96" w14:paraId="60AD6F3B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028B0F1E" w:rsidR="00C83C55" w:rsidRPr="00742B96" w:rsidRDefault="00BC20A7" w:rsidP="00BC20A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Komputer stacjonarny</w:t>
                </w:r>
              </w:p>
            </w:tc>
          </w:tr>
          <w:tr w:rsidR="00C83C55" w:rsidRPr="00742B96" w14:paraId="07924ED2" w14:textId="77777777" w:rsidTr="009C7CF3">
            <w:trPr>
              <w:cantSplit/>
              <w:trHeight w:val="148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059BAD6F" w:rsidR="00C83C55" w:rsidRPr="00742B96" w:rsidRDefault="00C83C55" w:rsidP="00F55D8A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 wielordzeniowy, zgodny z architekturą x86, możliwość uruchamiania aplikacji 64 bitowych, sprzętowe wsparcie dla wirtualizacji</w:t>
                </w:r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, </w:t>
                </w:r>
                <w:r w:rsidR="00946A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</w:t>
                </w:r>
                <w:r w:rsidR="00F248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pkt. </w:t>
                </w:r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 teście </w:t>
                </w:r>
                <w:proofErr w:type="spellStart"/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154264E6" w14:textId="77777777" w:rsidTr="005E477D">
            <w:trPr>
              <w:cantSplit/>
              <w:trHeight w:val="151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409BB577" w:rsidR="00C83C55" w:rsidRPr="00742B96" w:rsidRDefault="00C83C55" w:rsidP="00357C8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C83C55" w:rsidRPr="00742B96" w14:paraId="2F382C07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0D8E9ED6" w:rsidR="00C83C55" w:rsidRPr="00742B96" w:rsidRDefault="009C7CF3" w:rsidP="00993CD8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16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993CD8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GB RAM</w:t>
                </w:r>
                <w:r w:rsidR="000F50B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6602D90F" w14:textId="77777777" w:rsidTr="005E477D">
            <w:trPr>
              <w:cantSplit/>
              <w:trHeight w:val="459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7D285833" w:rsidR="00C83C55" w:rsidRPr="00742B96" w:rsidRDefault="00C83C55" w:rsidP="009C7CF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 w:rsidR="00F248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</w:t>
                </w:r>
                <w:r w:rsidR="005E021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9C7C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1TB</w:t>
                </w:r>
                <w:r w:rsidR="000F50B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20AD9A2C" w14:textId="77777777" w:rsidTr="005E477D">
            <w:trPr>
              <w:cantSplit/>
              <w:trHeight w:val="1543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CFDF12" w14:textId="01A0C15B" w:rsidR="00C83C55" w:rsidRPr="005E021E" w:rsidRDefault="00835C65" w:rsidP="00993CD8">
                <w:pPr>
                  <w:pStyle w:val="Teksttreci1"/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Dedykowana karta graficzna, rekomendowana do zastosowań CAD/CAM, posiadająca co najmniej 4 GB pamięci </w:t>
                </w:r>
                <w:r w:rsidR="00993CD8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 o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bsługująca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rozdzielczość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3840</w:t>
                </w:r>
                <w:r w:rsidRPr="00835C6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x2160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pikseli przy 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częstotliwości odś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wieżania ekranu co najmniej 10</w:t>
                </w:r>
                <w:r w:rsidR="005E021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0Hz.</w:t>
                </w:r>
              </w:p>
            </w:tc>
          </w:tr>
          <w:tr w:rsidR="00877405" w:rsidRPr="00742B96" w14:paraId="5D1F3B30" w14:textId="77777777" w:rsidTr="005E477D">
            <w:trPr>
              <w:cantSplit/>
              <w:trHeight w:val="1924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9DAF7A" w14:textId="71B08511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Monitor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C7170C" w14:textId="6973A943" w:rsidR="00877405" w:rsidRDefault="00877405" w:rsidP="00877405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Matryca matowa,</w:t>
                </w:r>
              </w:p>
              <w:p w14:paraId="15315146" w14:textId="2B7883E9" w:rsidR="00C75368" w:rsidRDefault="00C75368" w:rsidP="00877405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Kąty widzenia co najmniej 178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° w pionie i poziomie,</w:t>
                </w:r>
              </w:p>
              <w:p w14:paraId="37E39210" w14:textId="4333A17D" w:rsidR="00877405" w:rsidRDefault="00877405" w:rsidP="00877405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Przekątna ekranu co najmniej 24”,</w:t>
                </w:r>
              </w:p>
              <w:p w14:paraId="7EB98BB0" w14:textId="20C8EFD1" w:rsidR="00877405" w:rsidRDefault="00877405" w:rsidP="00877405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co najmniej 1920x1080 pikseli,</w:t>
                </w:r>
              </w:p>
              <w:p w14:paraId="3661B310" w14:textId="05451A57" w:rsidR="00877405" w:rsidRDefault="00877405" w:rsidP="00877405">
                <w:pPr>
                  <w:pStyle w:val="Teksttreci1"/>
                  <w:numPr>
                    <w:ilvl w:val="0"/>
                    <w:numId w:val="19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jedno złącze kompatybilne z oferowaną kartą graficzną.</w:t>
                </w:r>
              </w:p>
            </w:tc>
          </w:tr>
          <w:tr w:rsidR="00877405" w:rsidRPr="00742B96" w14:paraId="483031BC" w14:textId="77777777" w:rsidTr="005E477D">
            <w:trPr>
              <w:cantSplit/>
              <w:trHeight w:val="82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7D8673" w14:textId="7187A507" w:rsidR="00877405" w:rsidRDefault="00877405" w:rsidP="00877405">
                <w:pPr>
                  <w:pStyle w:val="Teksttreci1"/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najmniej:</w:t>
                </w:r>
              </w:p>
              <w:p w14:paraId="6D49EDAF" w14:textId="4136212F" w:rsidR="00877405" w:rsidRPr="00F42DEE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5" w:hanging="205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4B2823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1Gb Ethernet.</w:t>
                </w:r>
              </w:p>
            </w:tc>
          </w:tr>
          <w:tr w:rsidR="00877405" w:rsidRPr="00742B96" w14:paraId="655599E4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1CA85C9C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2F19A102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5144DF75" w:rsidR="00877405" w:rsidRPr="00742B96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5" w:hanging="21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Brak preinstalowanego systemu operacyjnego – zamawiający</w:t>
                </w:r>
                <w:r w:rsidRPr="000F50B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dysponuje już niezbędnymi licencjami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877405" w:rsidRPr="00742B96" w14:paraId="6D8B241A" w14:textId="77777777" w:rsidTr="005E477D">
            <w:trPr>
              <w:cantSplit/>
              <w:trHeight w:val="5866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877405" w:rsidRPr="00742B96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877405" w:rsidRPr="00742B96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877405" w:rsidRPr="00742B96" w:rsidRDefault="00877405" w:rsidP="00877405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451B4488" w14:textId="7EE93F6A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4220E47E" w14:textId="77777777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06EDA3F0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4C3021BD" w14:textId="77777777" w:rsidR="00877405" w:rsidRPr="00742B96" w:rsidRDefault="00877405" w:rsidP="00877405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877405" w:rsidRPr="00742B96" w14:paraId="6F10994E" w14:textId="77777777" w:rsidTr="005E477D">
            <w:trPr>
              <w:cantSplit/>
              <w:trHeight w:val="1232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36FEBD7A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w obudowie komputera obejmujące co najmniej:</w:t>
                </w:r>
              </w:p>
              <w:p w14:paraId="79603C3D" w14:textId="1CE92F86" w:rsidR="00877405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3.2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A w obudowie komputera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8812FB8" w14:textId="0EAF27B7" w:rsidR="00877405" w:rsidRPr="000F50B5" w:rsidRDefault="00877405" w:rsidP="0087740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877405" w:rsidRPr="00742B96" w14:paraId="3E709771" w14:textId="77777777" w:rsidTr="005E477D">
            <w:trPr>
              <w:cantSplit/>
              <w:trHeight w:val="152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05D994C9" w:rsidR="00877405" w:rsidRPr="00742B96" w:rsidRDefault="00877405" w:rsidP="00877405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877405" w:rsidRPr="00742B96" w14:paraId="2AB54B38" w14:textId="77777777" w:rsidTr="009C7CF3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2C3C79E9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06C02D3" w14:textId="56E0359E" w:rsidR="00877405" w:rsidRPr="00672747" w:rsidRDefault="00877405" w:rsidP="00877405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877405" w:rsidRPr="00742B96" w14:paraId="4FA8D97C" w14:textId="77777777" w:rsidTr="005E477D">
            <w:trPr>
              <w:cantSplit/>
              <w:trHeight w:val="170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6D26B7B8" w14:textId="77777777" w:rsidR="00877405" w:rsidRPr="00742B96" w:rsidRDefault="00877405" w:rsidP="00877405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06D13EA9" w:rsidR="00877405" w:rsidRPr="00742B96" w:rsidRDefault="00877405" w:rsidP="00877405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Wszystkie oferowane komponenty wchodzące w skład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komputera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będą ze sobą kompatybilne i nie będą obniżać jego wydajności. Zamawiający nie dopuszcza, aby zaoferowane komponenty komputera pracowały na niższych parametrach niż opisywane w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SIWZ.</w:t>
                </w:r>
              </w:p>
            </w:tc>
          </w:tr>
          <w:tr w:rsidR="00E83C5B" w:rsidRPr="00742B96" w14:paraId="222437A1" w14:textId="77777777" w:rsidTr="005E477D">
            <w:trPr>
              <w:cantSplit/>
              <w:trHeight w:val="138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189E8E" w14:textId="262A0B5A" w:rsidR="00E83C5B" w:rsidRPr="00742B96" w:rsidRDefault="00E83C5B" w:rsidP="00E83C5B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D7FA21" w14:textId="425ADA5F" w:rsidR="00E83C5B" w:rsidRPr="005832BD" w:rsidRDefault="00E83C5B" w:rsidP="00E83C5B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klawiatura podświetlana,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odporna na zalanie,</w:t>
                </w:r>
              </w:p>
              <w:p w14:paraId="0D877F1D" w14:textId="5198B494" w:rsidR="00E83C5B" w:rsidRPr="00742B96" w:rsidRDefault="00E83C5B" w:rsidP="00E83C5B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przewodowa, laserowa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77777777" w:rsidR="00BF76AF" w:rsidRDefault="00BF76AF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235A4DA3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6D06EC3C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3DA1B820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0021870F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2146FF5A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2416CF44" w14:textId="77777777" w:rsidR="00E83C5B" w:rsidRDefault="00E83C5B" w:rsidP="00BF76AF">
          <w:pPr>
            <w:tabs>
              <w:tab w:val="left" w:pos="4111"/>
            </w:tabs>
            <w:jc w:val="right"/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</w:pPr>
        </w:p>
        <w:p w14:paraId="1A1A3441" w14:textId="77777777" w:rsidR="00E83C5B" w:rsidRDefault="00E83C5B" w:rsidP="00BF76AF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438839628"/>
            <w:docPartObj>
              <w:docPartGallery w:val="Cover Pages"/>
              <w:docPartUnique/>
            </w:docPartObj>
          </w:sdtPr>
          <w:sdtEndPr>
            <w:rPr>
              <w:shd w:val="clear" w:color="auto" w:fill="auto"/>
            </w:rPr>
          </w:sdtEndPr>
          <w:sdtContent>
            <w:p w14:paraId="227AAD3F" w14:textId="1B8653DB" w:rsidR="00B54172" w:rsidRPr="00DA5AF6" w:rsidRDefault="00B54172" w:rsidP="00B54172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Laptop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B54172" w:rsidRPr="00742B96" w14:paraId="3A769585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78872D3" w14:textId="60CE077C" w:rsidR="00B54172" w:rsidRPr="00A12A03" w:rsidRDefault="00B54172" w:rsidP="004374D7">
                    <w:pPr>
                      <w:rPr>
                        <w:sz w:val="24"/>
                        <w:szCs w:val="24"/>
                      </w:rPr>
                    </w:pPr>
                    <w:r w:rsidRPr="00A12A03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8A9F05A" w14:textId="14EA36FD" w:rsidR="00B54172" w:rsidRPr="00A12A03" w:rsidRDefault="002608D8" w:rsidP="002608D8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</w:p>
                </w:tc>
              </w:tr>
              <w:tr w:rsidR="00B54172" w:rsidRPr="00742B96" w14:paraId="76228CE7" w14:textId="77777777" w:rsidTr="005E477D">
                <w:trPr>
                  <w:cantSplit/>
                  <w:trHeight w:val="47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52ED93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710D92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Laptop</w:t>
                    </w:r>
                  </w:p>
                </w:tc>
              </w:tr>
              <w:tr w:rsidR="00B54172" w:rsidRPr="00742B96" w14:paraId="59AE347B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684654B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Procesor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02EACF6" w14:textId="3D9805E9" w:rsidR="00B54172" w:rsidRPr="00742B96" w:rsidRDefault="00B54172" w:rsidP="002608D8">
                    <w:pPr>
                      <w:pStyle w:val="Teksttreci1"/>
                      <w:shd w:val="clear" w:color="auto" w:fill="auto"/>
                      <w:spacing w:before="0" w:after="24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Procesor wielordzeniowy, zgodny z architekturą x86, możliwość uruchamiania aplikacji 64 bitowych, </w:t>
                    </w:r>
                    <w:r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średniej wydaj</w:t>
                    </w:r>
                    <w:r w:rsidR="002608D8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ności ocenianej na co najmniej 200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00 pkt. w teście </w:t>
                    </w:r>
                    <w:proofErr w:type="spellStart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PassMark</w:t>
                    </w:r>
                    <w:proofErr w:type="spellEnd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. </w:t>
                    </w:r>
                  </w:p>
                </w:tc>
              </w:tr>
              <w:tr w:rsidR="00B54172" w:rsidRPr="00742B96" w14:paraId="2D06CAB1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7F4BD50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lastRenderedPageBreak/>
                      <w:t>Pamięć</w:t>
                    </w:r>
                  </w:p>
                  <w:p w14:paraId="630F9A59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operacyjna</w:t>
                    </w:r>
                  </w:p>
                  <w:p w14:paraId="68A144F0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RAM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DDE87A7" w14:textId="6BD8CB63" w:rsidR="00B54172" w:rsidRPr="00742B96" w:rsidRDefault="002608D8" w:rsidP="002608D8">
                    <w:pPr>
                      <w:pStyle w:val="Teksttreci1"/>
                      <w:shd w:val="clear" w:color="auto" w:fill="auto"/>
                      <w:tabs>
                        <w:tab w:val="left" w:pos="3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 najmniej 16</w:t>
                    </w:r>
                    <w:r w:rsidR="00B5417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GB RAM.</w:t>
                    </w:r>
                  </w:p>
                </w:tc>
              </w:tr>
              <w:tr w:rsidR="00B54172" w:rsidRPr="00742B96" w14:paraId="2EE22C67" w14:textId="77777777" w:rsidTr="005E477D">
                <w:trPr>
                  <w:cantSplit/>
                  <w:trHeight w:val="423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89AA48A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Pamięć masowa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  <w:vAlign w:val="center"/>
                  </w:tcPr>
                  <w:p w14:paraId="5FA743D5" w14:textId="7146973D" w:rsidR="00B54172" w:rsidRPr="00742B96" w:rsidRDefault="00B54172" w:rsidP="002608D8">
                    <w:pPr>
                      <w:pStyle w:val="Teksttreci1"/>
                      <w:numPr>
                        <w:ilvl w:val="0"/>
                        <w:numId w:val="2"/>
                      </w:numPr>
                      <w:shd w:val="clear" w:color="auto" w:fill="auto"/>
                      <w:spacing w:before="0" w:after="0" w:line="26" w:lineRule="atLeast"/>
                      <w:ind w:left="333" w:hanging="303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Dysk SSD </w:t>
                    </w:r>
                    <w:r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pojemności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2608D8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 najmniej 512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GB</w:t>
                    </w:r>
                    <w:r w:rsidR="005832BD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B54172" w:rsidRPr="00742B96" w14:paraId="626BAD63" w14:textId="77777777" w:rsidTr="005E477D">
                <w:trPr>
                  <w:cantSplit/>
                  <w:trHeight w:val="123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5CE4615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Wyświetlacz</w:t>
                    </w:r>
                  </w:p>
                  <w:p w14:paraId="4563653A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(monitor)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AFD981E" w14:textId="378FE5A0" w:rsidR="00B54172" w:rsidRPr="00D809CD" w:rsidRDefault="00D809CD" w:rsidP="004374D7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742B96">
                      <w:rPr>
                        <w:rFonts w:ascii="Century Gothic" w:hAnsi="Century Gothic"/>
                        <w:sz w:val="24"/>
                        <w:szCs w:val="24"/>
                      </w:rPr>
                      <w:t>P</w:t>
                    </w:r>
                    <w:r w:rsidR="00B54172" w:rsidRPr="00742B96">
                      <w:rPr>
                        <w:rFonts w:ascii="Century Gothic" w:hAnsi="Century Gothic"/>
                        <w:sz w:val="24"/>
                        <w:szCs w:val="24"/>
                      </w:rPr>
                      <w:t>rzekątna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15”-</w:t>
                    </w:r>
                    <w:r w:rsidR="00B5417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15,6”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323E5411" w14:textId="01B03E5C" w:rsidR="00D809CD" w:rsidRPr="00742B96" w:rsidRDefault="00D809CD" w:rsidP="004374D7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Matryca antyrefleksyjna,</w:t>
                    </w:r>
                  </w:p>
                  <w:p w14:paraId="196F6B14" w14:textId="195C1BE8" w:rsidR="00B54172" w:rsidRPr="00F70C35" w:rsidRDefault="00D809CD" w:rsidP="00F70C35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102"/>
                      </w:tabs>
                      <w:spacing w:before="0" w:after="0" w:line="26" w:lineRule="atLeast"/>
                      <w:ind w:left="226" w:hanging="22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Rozdzielczość nominalna co najmniej</w:t>
                    </w:r>
                    <w:r w:rsidR="00B54172"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B5417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1920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x</w:t>
                    </w:r>
                    <w:r w:rsidR="00B54172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1080</w:t>
                    </w:r>
                    <w:r w:rsidR="00B54172" w:rsidRPr="00946A5B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B54172">
                      <w:rPr>
                        <w:rFonts w:ascii="Century Gothic" w:hAnsi="Century Gothic"/>
                        <w:sz w:val="24"/>
                        <w:szCs w:val="24"/>
                      </w:rPr>
                      <w:t>pikseli</w:t>
                    </w:r>
                    <w:r w:rsidR="00F70C35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B54172" w:rsidRPr="00742B96" w14:paraId="14BD1F23" w14:textId="77777777" w:rsidTr="005E477D">
                <w:trPr>
                  <w:cantSplit/>
                  <w:trHeight w:val="807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7E7A7F9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graficzna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D23E2B5" w14:textId="77777777" w:rsidR="00B54172" w:rsidRPr="005E021E" w:rsidRDefault="00B54172" w:rsidP="004374D7">
                    <w:pPr>
                      <w:pStyle w:val="Teksttreci1"/>
                      <w:numPr>
                        <w:ilvl w:val="0"/>
                        <w:numId w:val="8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1" w:hanging="189"/>
                      <w:jc w:val="both"/>
                      <w:rPr>
                        <w:rFonts w:ascii="Century Gothic" w:hAnsi="Century Gothic"/>
                        <w:sz w:val="24"/>
                        <w:szCs w:val="24"/>
                        <w:shd w:val="clear" w:color="auto" w:fill="FFFFFF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obsługująca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co najmniej rozdzielczość 1920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x1080 pikseli przy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częstotliwości odświeżania ekranu 60Hz.</w:t>
                    </w:r>
                  </w:p>
                </w:tc>
              </w:tr>
              <w:tr w:rsidR="00B54172" w:rsidRPr="00742B96" w14:paraId="431DAD18" w14:textId="77777777" w:rsidTr="005E477D">
                <w:trPr>
                  <w:cantSplit/>
                  <w:trHeight w:val="152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83FCFAF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Wyposażenie</w:t>
                    </w:r>
                  </w:p>
                  <w:p w14:paraId="730F4CC8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multimedialne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D017730" w14:textId="77777777" w:rsidR="00B54172" w:rsidRPr="00C81D5C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C81D5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dźwięko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 zintegrowana z płytą główną,</w:t>
                    </w:r>
                  </w:p>
                  <w:p w14:paraId="2C4640E2" w14:textId="77777777" w:rsidR="00B54172" w:rsidRPr="00C81D5C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wbudowane głośniki stereo,</w:t>
                    </w:r>
                  </w:p>
                  <w:p w14:paraId="1E33ECC7" w14:textId="77777777" w:rsidR="00B54172" w:rsidRPr="00C81D5C" w:rsidRDefault="00B54172" w:rsidP="004374D7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wbudowany mikrofon,</w:t>
                    </w:r>
                  </w:p>
                  <w:p w14:paraId="6D828463" w14:textId="5D6EF56E" w:rsidR="00B54172" w:rsidRPr="00C81D5C" w:rsidRDefault="00B54172" w:rsidP="00F70C35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wbudowana kamera</w:t>
                    </w:r>
                    <w:r w:rsidR="00F70C35">
                      <w:rPr>
                        <w:rFonts w:ascii="Century Gothic" w:hAnsi="Century Gothic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B54172" w:rsidRPr="00742B96" w14:paraId="0045227D" w14:textId="77777777" w:rsidTr="005E477D">
                <w:trPr>
                  <w:cantSplit/>
                  <w:trHeight w:val="1241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486578B" w14:textId="77777777" w:rsidR="00B54172" w:rsidRPr="00742B96" w:rsidRDefault="00B54172" w:rsidP="004374D7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Łączność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0D969EF" w14:textId="0249CA44" w:rsidR="00B54172" w:rsidRPr="00742B96" w:rsidRDefault="00B54172" w:rsidP="004374D7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sieciowa 1</w:t>
                    </w:r>
                    <w:r w:rsidR="005832BD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Gb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Ethernet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42638DD6" w14:textId="78F2EF19" w:rsidR="00B54172" w:rsidRPr="006F3443" w:rsidRDefault="00B54172" w:rsidP="006F3443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zintegrowana karta sieciowa bezprzewodowa obsługująca standard</w:t>
                    </w:r>
                    <w:r w:rsidR="005832BD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 xml:space="preserve"> co najmniej</w:t>
                    </w:r>
                    <w:r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 xml:space="preserve"> </w:t>
                    </w:r>
                    <w:r w:rsidRPr="00357C82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802.11</w:t>
                    </w:r>
                    <w:r w:rsidR="005832BD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ax</w:t>
                    </w:r>
                    <w:r w:rsidR="006F3443"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  <w:t>.</w:t>
                    </w:r>
                  </w:p>
                </w:tc>
              </w:tr>
              <w:tr w:rsidR="005832BD" w:rsidRPr="00742B96" w14:paraId="23F91D9C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748BD6B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</w:t>
                    </w:r>
                  </w:p>
                  <w:p w14:paraId="3C97B1ED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operacyjny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E68C277" w14:textId="74355426" w:rsidR="005832BD" w:rsidRPr="00742B96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Brak preinstalowanego systemu operacyjnego – zamawiający</w:t>
                    </w:r>
                    <w:r w:rsidRPr="000F50B5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dysponuje już niezbędny</w:t>
                    </w:r>
                    <w:bookmarkStart w:id="0" w:name="_GoBack"/>
                    <w:bookmarkEnd w:id="0"/>
                    <w:r w:rsidRPr="000F50B5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mi licencjami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5832BD" w:rsidRPr="00742B96" w14:paraId="4E3A9FB8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6F19D00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E20CCBD" w14:textId="77777777" w:rsidR="005832BD" w:rsidRPr="00742B96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29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 zgodny ze specyfikacją UEFI, pełna obsługa BIOS za pomocą klawiatury i myszy z poziomu BIOS (bez potrzeby instalacji dodatkowego oprogramowania),</w:t>
                    </w:r>
                  </w:p>
                  <w:p w14:paraId="6B5B29ED" w14:textId="77777777" w:rsidR="005832BD" w:rsidRPr="00742B96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33"/>
                      </w:tabs>
                      <w:spacing w:before="0" w:after="0" w:line="26" w:lineRule="atLeast"/>
                      <w:ind w:left="343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BIOS zawierający niezamazywaną informację o producencie, modelu i numerze seryjnym komputera,</w:t>
                    </w:r>
                  </w:p>
                  <w:p w14:paraId="23645CF0" w14:textId="77777777" w:rsidR="005832BD" w:rsidRPr="00742B96" w:rsidRDefault="005832BD" w:rsidP="005832BD">
                    <w:pPr>
                      <w:pStyle w:val="Teksttreci1"/>
                      <w:numPr>
                        <w:ilvl w:val="0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374" w:hanging="283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oprogramowanie umożliwia:</w:t>
                    </w:r>
                  </w:p>
                  <w:p w14:paraId="5C4E3622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zablokowanie wejścia do BIOS oraz zablokowanie startu systemu operacyjnego (z gwarancją utrzymania zapisanego hasła nawet w przypadku odłączenia wszystkich źródeł zasilania i podtrzymania BIOS),</w:t>
                    </w:r>
                  </w:p>
                  <w:p w14:paraId="3F7F931D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20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włączanie i wyłączanie interfejsów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sieciowych</w:t>
                    </w:r>
                  </w:p>
                  <w:p w14:paraId="1C3B946E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blokowanie i odblokowywanie BOOT-</w:t>
                    </w:r>
                    <w:proofErr w:type="spellStart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owania</w:t>
                    </w:r>
                    <w:proofErr w:type="spellEnd"/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stacji roboczej z urządzeń zewnętrznych,</w:t>
                    </w:r>
                  </w:p>
                  <w:p w14:paraId="34BA1215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uruchamianie systemu operacyjnego z dysku twardego komputera lub innych, podłączonych do niego urządzeń zewnętrznych,</w:t>
                    </w:r>
                  </w:p>
                  <w:p w14:paraId="61548C77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16"/>
                      </w:tabs>
                      <w:spacing w:before="0" w:after="0" w:line="26" w:lineRule="atLeast"/>
                      <w:ind w:left="79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ustawienie hasła na poziomie administrat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ora systemu oraz dysku twardego,</w:t>
                    </w:r>
                  </w:p>
                  <w:p w14:paraId="039D8D19" w14:textId="77777777" w:rsidR="005832BD" w:rsidRPr="00742B96" w:rsidRDefault="005832BD" w:rsidP="005832BD">
                    <w:pPr>
                      <w:pStyle w:val="Teksttreci1"/>
                      <w:numPr>
                        <w:ilvl w:val="1"/>
                        <w:numId w:val="6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79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wyłączania i włączania portów USB.</w:t>
                    </w:r>
                  </w:p>
                </w:tc>
              </w:tr>
              <w:tr w:rsidR="005832BD" w:rsidRPr="00742B96" w14:paraId="07C37686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A0E330E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lastRenderedPageBreak/>
                      <w:t>Porty i złącza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DC9786D" w14:textId="66914152" w:rsidR="005832BD" w:rsidRPr="00742B96" w:rsidRDefault="00411DB9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516" w:hanging="38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Wbudowane porty co najmniej:</w:t>
                    </w:r>
                  </w:p>
                  <w:p w14:paraId="451DCD5B" w14:textId="39CDDB7A" w:rsidR="005832BD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2 porty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USB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3.1 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typu A w obudowie komputera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1ABE812D" w14:textId="0BAEC430" w:rsidR="005832BD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Ethernet RJ45</w:t>
                    </w:r>
                    <w:r w:rsidR="00411DB9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w obudowie komputera, </w:t>
                    </w:r>
                  </w:p>
                  <w:p w14:paraId="196E60CF" w14:textId="010E4811" w:rsidR="005832BD" w:rsidRDefault="00411DB9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1 port HDMI (zamawiający dopuszcza rozwiązanie z dodatkowym adapterem, pod warunkiem utrzymania co najmniej 2 wolnych portów USB w obudowie komputera po jego zastosowaniu),</w:t>
                    </w:r>
                  </w:p>
                  <w:p w14:paraId="765DCE62" w14:textId="52001801" w:rsidR="005832BD" w:rsidRPr="006F3443" w:rsidRDefault="005832BD" w:rsidP="005832BD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516" w:hanging="218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Wejście i wyjście audio, lub złącze audio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combo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(umożliwiające podłączenie zestawu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słuchawki+mikrofon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).</w:t>
                    </w:r>
                  </w:p>
                </w:tc>
              </w:tr>
              <w:tr w:rsidR="005832BD" w:rsidRPr="00742B96" w14:paraId="7BC8494C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0A69BF6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2BA2FCB" w14:textId="77777777" w:rsidR="005832BD" w:rsidRPr="00742B96" w:rsidRDefault="005832BD" w:rsidP="005832BD">
                    <w:pPr>
                      <w:pStyle w:val="Teksttreci1"/>
                      <w:numPr>
                        <w:ilvl w:val="0"/>
                        <w:numId w:val="1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asilacz o mocy umożliwiającej niezakłócone funkcjonowanie jednostki przy najwyższym możliwym obciążeniu, pracujący w sieci 230V 50/60Hz prądu przemiennego, zewnętrzny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zapewniający sprawne działanie całej jednostki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5832BD" w:rsidRPr="00742B96" w14:paraId="4CAA2FAA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DB0DE8C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Warunki</w:t>
                    </w:r>
                  </w:p>
                  <w:p w14:paraId="1556771B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123FCE8" w14:textId="27C207CE" w:rsidR="005832BD" w:rsidRPr="00672747" w:rsidRDefault="00411DB9" w:rsidP="005832BD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36</w:t>
                    </w:r>
                    <w:r w:rsidR="005832BD"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-miesięczna gwarancja producenta, liczona od dnia podpisania ostatecznego</w:t>
                    </w:r>
                    <w:r w:rsidR="005832BD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jakościowego protokołu odbioru.</w:t>
                    </w:r>
                  </w:p>
                </w:tc>
              </w:tr>
              <w:tr w:rsidR="005832BD" w:rsidRPr="00742B96" w14:paraId="54116C50" w14:textId="77777777" w:rsidTr="005832BD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7F36F5D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Wymagania</w:t>
                    </w:r>
                  </w:p>
                  <w:p w14:paraId="11041E20" w14:textId="77777777" w:rsidR="005832BD" w:rsidRPr="00742B96" w:rsidRDefault="005832BD" w:rsidP="005832BD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dodatkowe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6047535" w14:textId="7F4D5C41" w:rsidR="005832BD" w:rsidRPr="00742B96" w:rsidRDefault="005832BD" w:rsidP="00411DB9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Wszystkie oferowane komponenty wchodzące w skład </w:t>
                    </w:r>
                    <w:r w:rsidR="00411DB9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komputera</w:t>
                    </w:r>
                    <w:r w:rsidRPr="00742B96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będą ze sobą kompatybilne i nie będą obniżać jego wydajności. Zamawiający nie dopuszcza, aby zaoferowane komponenty komputera pracowały na niższych parametrach niż opisywane w SIWZ.</w:t>
                    </w:r>
                  </w:p>
                </w:tc>
              </w:tr>
            </w:tbl>
          </w:sdtContent>
        </w:sdt>
      </w:sdtContent>
    </w:sdt>
    <w:p w14:paraId="28E85130" w14:textId="77777777" w:rsidR="005A2526" w:rsidRPr="00620EDF" w:rsidRDefault="005A2526" w:rsidP="00411DB9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ectPr w:rsidR="005A2526" w:rsidRPr="00620EDF" w:rsidSect="009A6823">
      <w:footerReference w:type="default" r:id="rId8"/>
      <w:footerReference w:type="first" r:id="rId9"/>
      <w:pgSz w:w="11906" w:h="16838"/>
      <w:pgMar w:top="720" w:right="720" w:bottom="720" w:left="720" w:header="1984" w:footer="465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E19B" w14:textId="77777777" w:rsidR="00794B92" w:rsidRDefault="00794B92" w:rsidP="00442525">
      <w:pPr>
        <w:spacing w:after="0" w:line="240" w:lineRule="auto"/>
      </w:pPr>
      <w:r>
        <w:separator/>
      </w:r>
    </w:p>
  </w:endnote>
  <w:endnote w:type="continuationSeparator" w:id="0">
    <w:p w14:paraId="5F8C6B4D" w14:textId="77777777" w:rsidR="00794B92" w:rsidRDefault="00794B9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7F07219C" w:rsidR="004374D7" w:rsidRDefault="00437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7D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4374D7" w:rsidRDefault="004374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7F0E85D7" w:rsidR="004374D7" w:rsidRDefault="004374D7">
    <w:pPr>
      <w:pStyle w:val="Stopka"/>
    </w:pP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4374D7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4374D7" w:rsidRPr="00923013" w:rsidRDefault="004374D7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4374D7" w:rsidRPr="00923013" w:rsidRDefault="004374D7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EDCF501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4374D7" w:rsidRPr="00CF0017" w:rsidRDefault="005E477D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1" w:history="1">
            <w:r w:rsidR="004374D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4374D7" w:rsidRPr="00923013" w:rsidRDefault="004374D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7B96" w14:textId="77777777" w:rsidR="00794B92" w:rsidRDefault="00794B92" w:rsidP="00442525">
      <w:pPr>
        <w:spacing w:after="0" w:line="240" w:lineRule="auto"/>
      </w:pPr>
      <w:r>
        <w:separator/>
      </w:r>
    </w:p>
  </w:footnote>
  <w:footnote w:type="continuationSeparator" w:id="0">
    <w:p w14:paraId="3D293173" w14:textId="77777777" w:rsidR="00794B92" w:rsidRDefault="00794B92" w:rsidP="0044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ACA"/>
    <w:multiLevelType w:val="hybridMultilevel"/>
    <w:tmpl w:val="A6F0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B4D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5CFC"/>
    <w:multiLevelType w:val="hybridMultilevel"/>
    <w:tmpl w:val="F2622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5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8"/>
  </w:num>
  <w:num w:numId="9">
    <w:abstractNumId w:val="18"/>
  </w:num>
  <w:num w:numId="10">
    <w:abstractNumId w:val="15"/>
  </w:num>
  <w:num w:numId="11">
    <w:abstractNumId w:val="1"/>
  </w:num>
  <w:num w:numId="12">
    <w:abstractNumId w:val="11"/>
  </w:num>
  <w:num w:numId="13">
    <w:abstractNumId w:val="17"/>
  </w:num>
  <w:num w:numId="14">
    <w:abstractNumId w:val="6"/>
  </w:num>
  <w:num w:numId="15">
    <w:abstractNumId w:val="12"/>
  </w:num>
  <w:num w:numId="16">
    <w:abstractNumId w:val="2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59E9"/>
    <w:rsid w:val="0004279C"/>
    <w:rsid w:val="00050D9D"/>
    <w:rsid w:val="00054C7D"/>
    <w:rsid w:val="000715C5"/>
    <w:rsid w:val="000755AA"/>
    <w:rsid w:val="00084785"/>
    <w:rsid w:val="00097BE4"/>
    <w:rsid w:val="000A65A4"/>
    <w:rsid w:val="000B09C0"/>
    <w:rsid w:val="000C4BFE"/>
    <w:rsid w:val="000E725E"/>
    <w:rsid w:val="000E7A4E"/>
    <w:rsid w:val="000F204C"/>
    <w:rsid w:val="000F47FC"/>
    <w:rsid w:val="000F50B5"/>
    <w:rsid w:val="001106FD"/>
    <w:rsid w:val="00146C02"/>
    <w:rsid w:val="00150469"/>
    <w:rsid w:val="00173BD3"/>
    <w:rsid w:val="00190F8A"/>
    <w:rsid w:val="001A54D2"/>
    <w:rsid w:val="001A5E87"/>
    <w:rsid w:val="001B0273"/>
    <w:rsid w:val="001B30C8"/>
    <w:rsid w:val="0020762B"/>
    <w:rsid w:val="002205FD"/>
    <w:rsid w:val="0023164A"/>
    <w:rsid w:val="002379C5"/>
    <w:rsid w:val="00245178"/>
    <w:rsid w:val="002608D8"/>
    <w:rsid w:val="00270698"/>
    <w:rsid w:val="00275D79"/>
    <w:rsid w:val="00294E12"/>
    <w:rsid w:val="002B7E8E"/>
    <w:rsid w:val="002C28F3"/>
    <w:rsid w:val="002D6DD0"/>
    <w:rsid w:val="002F7CCF"/>
    <w:rsid w:val="0030650F"/>
    <w:rsid w:val="00310E66"/>
    <w:rsid w:val="00321384"/>
    <w:rsid w:val="0032341B"/>
    <w:rsid w:val="0034594B"/>
    <w:rsid w:val="00357C82"/>
    <w:rsid w:val="0036768E"/>
    <w:rsid w:val="00377A19"/>
    <w:rsid w:val="003D35B5"/>
    <w:rsid w:val="00401E5E"/>
    <w:rsid w:val="004052DC"/>
    <w:rsid w:val="00411DB9"/>
    <w:rsid w:val="004374D7"/>
    <w:rsid w:val="00442525"/>
    <w:rsid w:val="00447EB5"/>
    <w:rsid w:val="0045264F"/>
    <w:rsid w:val="004527C9"/>
    <w:rsid w:val="00454311"/>
    <w:rsid w:val="0046484F"/>
    <w:rsid w:val="00492515"/>
    <w:rsid w:val="004B2823"/>
    <w:rsid w:val="004D084A"/>
    <w:rsid w:val="005120CE"/>
    <w:rsid w:val="00512CDB"/>
    <w:rsid w:val="00517E50"/>
    <w:rsid w:val="0052307C"/>
    <w:rsid w:val="005364AE"/>
    <w:rsid w:val="005408C3"/>
    <w:rsid w:val="00544D93"/>
    <w:rsid w:val="005613FF"/>
    <w:rsid w:val="0056161A"/>
    <w:rsid w:val="00582C4E"/>
    <w:rsid w:val="005832BD"/>
    <w:rsid w:val="005869A5"/>
    <w:rsid w:val="005A2526"/>
    <w:rsid w:val="005E021E"/>
    <w:rsid w:val="005E17C7"/>
    <w:rsid w:val="005E477D"/>
    <w:rsid w:val="005F67D5"/>
    <w:rsid w:val="00620EDF"/>
    <w:rsid w:val="0062457F"/>
    <w:rsid w:val="00657646"/>
    <w:rsid w:val="006613CC"/>
    <w:rsid w:val="006722FA"/>
    <w:rsid w:val="00672747"/>
    <w:rsid w:val="006B102C"/>
    <w:rsid w:val="006E6731"/>
    <w:rsid w:val="006F3443"/>
    <w:rsid w:val="00700172"/>
    <w:rsid w:val="0070593A"/>
    <w:rsid w:val="00742B96"/>
    <w:rsid w:val="00767AE9"/>
    <w:rsid w:val="00780EBA"/>
    <w:rsid w:val="00794B92"/>
    <w:rsid w:val="00795BF3"/>
    <w:rsid w:val="007A43C8"/>
    <w:rsid w:val="007C26BF"/>
    <w:rsid w:val="007C5327"/>
    <w:rsid w:val="00821082"/>
    <w:rsid w:val="00835C65"/>
    <w:rsid w:val="008441AC"/>
    <w:rsid w:val="00877405"/>
    <w:rsid w:val="00886C08"/>
    <w:rsid w:val="008E072F"/>
    <w:rsid w:val="008E2F1E"/>
    <w:rsid w:val="00923013"/>
    <w:rsid w:val="00945550"/>
    <w:rsid w:val="00946A5B"/>
    <w:rsid w:val="009531A3"/>
    <w:rsid w:val="00980A78"/>
    <w:rsid w:val="0098794E"/>
    <w:rsid w:val="00993CD8"/>
    <w:rsid w:val="009A2890"/>
    <w:rsid w:val="009A6823"/>
    <w:rsid w:val="009A7390"/>
    <w:rsid w:val="009B634D"/>
    <w:rsid w:val="009C4C64"/>
    <w:rsid w:val="009C7CF3"/>
    <w:rsid w:val="009E6909"/>
    <w:rsid w:val="00A02E23"/>
    <w:rsid w:val="00A12A03"/>
    <w:rsid w:val="00A2568B"/>
    <w:rsid w:val="00A56858"/>
    <w:rsid w:val="00A7212E"/>
    <w:rsid w:val="00AA18A0"/>
    <w:rsid w:val="00AB2074"/>
    <w:rsid w:val="00AC2D44"/>
    <w:rsid w:val="00AD7FB7"/>
    <w:rsid w:val="00B00783"/>
    <w:rsid w:val="00B05BD7"/>
    <w:rsid w:val="00B147A5"/>
    <w:rsid w:val="00B54172"/>
    <w:rsid w:val="00BB2C38"/>
    <w:rsid w:val="00BC20A7"/>
    <w:rsid w:val="00BC5F67"/>
    <w:rsid w:val="00BC60FF"/>
    <w:rsid w:val="00BE27E4"/>
    <w:rsid w:val="00BE4625"/>
    <w:rsid w:val="00BF76AF"/>
    <w:rsid w:val="00C058A0"/>
    <w:rsid w:val="00C169C3"/>
    <w:rsid w:val="00C35AE4"/>
    <w:rsid w:val="00C74C68"/>
    <w:rsid w:val="00C75368"/>
    <w:rsid w:val="00C815BF"/>
    <w:rsid w:val="00C81D5C"/>
    <w:rsid w:val="00C83C55"/>
    <w:rsid w:val="00C94310"/>
    <w:rsid w:val="00CA59BA"/>
    <w:rsid w:val="00CC4497"/>
    <w:rsid w:val="00CD558D"/>
    <w:rsid w:val="00CD7D1D"/>
    <w:rsid w:val="00CF0017"/>
    <w:rsid w:val="00D11852"/>
    <w:rsid w:val="00D15689"/>
    <w:rsid w:val="00D46662"/>
    <w:rsid w:val="00D809CD"/>
    <w:rsid w:val="00D87EEE"/>
    <w:rsid w:val="00D97986"/>
    <w:rsid w:val="00DA5AF6"/>
    <w:rsid w:val="00E47558"/>
    <w:rsid w:val="00E62FEB"/>
    <w:rsid w:val="00E66ED8"/>
    <w:rsid w:val="00E7439D"/>
    <w:rsid w:val="00E83C5B"/>
    <w:rsid w:val="00EF1E5B"/>
    <w:rsid w:val="00F2485B"/>
    <w:rsid w:val="00F42DEE"/>
    <w:rsid w:val="00F42F59"/>
    <w:rsid w:val="00F55D8A"/>
    <w:rsid w:val="00F65702"/>
    <w:rsid w:val="00F70C35"/>
    <w:rsid w:val="00F82907"/>
    <w:rsid w:val="00F84FDB"/>
    <w:rsid w:val="00F85176"/>
    <w:rsid w:val="00FA3B99"/>
    <w:rsid w:val="00FA66D3"/>
    <w:rsid w:val="00FC5496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E58E0E2A-CFA9-4A1E-9C5A-3439883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11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31E1-1A24-480D-93E7-FC2C190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5</cp:revision>
  <cp:lastPrinted>2020-11-30T11:58:00Z</cp:lastPrinted>
  <dcterms:created xsi:type="dcterms:W3CDTF">2023-07-24T10:56:00Z</dcterms:created>
  <dcterms:modified xsi:type="dcterms:W3CDTF">2023-07-28T09:48:00Z</dcterms:modified>
</cp:coreProperties>
</file>