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625FFB1C" w:rsidR="001569CB" w:rsidRPr="008246F7" w:rsidRDefault="008246F7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color w:val="auto"/>
          <w:sz w:val="20"/>
          <w:szCs w:val="20"/>
        </w:rPr>
        <w:t>ZAPYTANIE OFERTOWE NR ZOZK/10</w:t>
      </w:r>
      <w:r w:rsidR="001569CB" w:rsidRPr="008246F7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9E6192" w:rsidRPr="008246F7">
        <w:rPr>
          <w:rFonts w:eastAsia="Times New Roman" w:cs="Times New Roman"/>
          <w:b/>
          <w:color w:val="auto"/>
          <w:sz w:val="20"/>
          <w:szCs w:val="20"/>
        </w:rPr>
        <w:t>I</w:t>
      </w:r>
      <w:r w:rsidRPr="008246F7">
        <w:rPr>
          <w:rFonts w:eastAsia="Times New Roman" w:cs="Times New Roman"/>
          <w:b/>
          <w:color w:val="auto"/>
          <w:sz w:val="20"/>
          <w:szCs w:val="20"/>
        </w:rPr>
        <w:t>V</w:t>
      </w:r>
      <w:r w:rsidR="001569CB" w:rsidRPr="008246F7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71629F0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644877" w14:textId="77777777" w:rsidR="008246F7" w:rsidRDefault="00B80EF8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color w:val="auto"/>
          <w:sz w:val="20"/>
          <w:szCs w:val="20"/>
        </w:rPr>
        <w:t>Zakup i</w:t>
      </w:r>
      <w:r w:rsidR="003320E9" w:rsidRPr="008246F7">
        <w:rPr>
          <w:rFonts w:eastAsia="Times New Roman" w:cs="Times New Roman"/>
          <w:b/>
          <w:color w:val="auto"/>
          <w:sz w:val="20"/>
          <w:szCs w:val="20"/>
        </w:rPr>
        <w:t xml:space="preserve"> d</w:t>
      </w:r>
      <w:r w:rsidR="001569CB" w:rsidRPr="008246F7">
        <w:rPr>
          <w:rFonts w:eastAsia="Times New Roman" w:cs="Times New Roman"/>
          <w:b/>
          <w:color w:val="auto"/>
          <w:sz w:val="20"/>
          <w:szCs w:val="20"/>
        </w:rPr>
        <w:t xml:space="preserve">ostawa </w:t>
      </w:r>
      <w:r w:rsidRPr="008246F7">
        <w:rPr>
          <w:rFonts w:eastAsia="Times New Roman" w:cs="Times New Roman"/>
          <w:b/>
          <w:color w:val="auto"/>
          <w:sz w:val="20"/>
          <w:szCs w:val="20"/>
        </w:rPr>
        <w:t>wyposażenia</w:t>
      </w:r>
      <w:r w:rsidR="007D063D" w:rsidRPr="008246F7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Pr="008246F7">
        <w:rPr>
          <w:rFonts w:eastAsia="Times New Roman" w:cs="Times New Roman"/>
          <w:b/>
          <w:color w:val="auto"/>
          <w:sz w:val="20"/>
          <w:szCs w:val="20"/>
        </w:rPr>
        <w:t xml:space="preserve">pracowni </w:t>
      </w:r>
      <w:r w:rsidR="008246F7">
        <w:rPr>
          <w:rFonts w:eastAsia="Times New Roman" w:cs="Times New Roman"/>
          <w:b/>
          <w:color w:val="auto"/>
          <w:sz w:val="20"/>
          <w:szCs w:val="20"/>
        </w:rPr>
        <w:t>fryzjerskiej do Zespołu</w:t>
      </w:r>
      <w:r w:rsidR="008246F7" w:rsidRPr="008246F7">
        <w:rPr>
          <w:rFonts w:eastAsia="Times New Roman" w:cs="Times New Roman"/>
          <w:b/>
          <w:color w:val="auto"/>
          <w:sz w:val="20"/>
          <w:szCs w:val="20"/>
        </w:rPr>
        <w:t xml:space="preserve"> Szkół Zawodowych Specjalnych </w:t>
      </w:r>
    </w:p>
    <w:p w14:paraId="19B7AB45" w14:textId="383CA385" w:rsidR="001569CB" w:rsidRPr="008246F7" w:rsidRDefault="008246F7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color w:val="auto"/>
          <w:sz w:val="20"/>
          <w:szCs w:val="20"/>
        </w:rPr>
        <w:t>w Wałbrzychu</w:t>
      </w:r>
      <w:r w:rsidR="007D063D" w:rsidRPr="008246F7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36322B44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26394E81" w:rsidR="001569CB" w:rsidRPr="008246F7" w:rsidRDefault="007D063D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</w:t>
      </w:r>
      <w:r w:rsidR="001569CB" w:rsidRPr="008246F7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8F88189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8246F7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8246F7">
        <w:rPr>
          <w:rFonts w:eastAsia="Times New Roman" w:cs="Times New Roman"/>
          <w:color w:val="auto"/>
          <w:sz w:val="20"/>
          <w:szCs w:val="20"/>
        </w:rPr>
        <w:tab/>
      </w:r>
      <w:r w:rsidRPr="008246F7">
        <w:rPr>
          <w:rFonts w:eastAsia="Times New Roman" w:cs="Times New Roman"/>
          <w:color w:val="auto"/>
          <w:sz w:val="20"/>
          <w:szCs w:val="20"/>
        </w:rPr>
        <w:tab/>
      </w:r>
      <w:r w:rsidRPr="008246F7">
        <w:rPr>
          <w:rFonts w:eastAsia="Times New Roman" w:cs="Times New Roman"/>
          <w:color w:val="auto"/>
          <w:sz w:val="20"/>
          <w:szCs w:val="20"/>
        </w:rPr>
        <w:tab/>
      </w:r>
      <w:r w:rsidRPr="008246F7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8246F7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Zatwierdziła:</w:t>
      </w:r>
      <w:r w:rsidRPr="008246F7">
        <w:rPr>
          <w:rFonts w:eastAsia="Times New Roman" w:cs="Times New Roman"/>
          <w:color w:val="auto"/>
          <w:sz w:val="20"/>
          <w:szCs w:val="20"/>
        </w:rPr>
        <w:tab/>
      </w:r>
      <w:r w:rsidRPr="008246F7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8246F7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8246F7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F3115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</w:p>
    <w:p w14:paraId="3D8A8121" w14:textId="77777777" w:rsidR="001569CB" w:rsidRPr="00F3115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  <w:r w:rsidRPr="00F31155">
        <w:rPr>
          <w:rFonts w:eastAsia="Times New Roman" w:cs="Times New Roman"/>
          <w:color w:val="FF0000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F3115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</w:p>
    <w:p w14:paraId="683FED7C" w14:textId="77777777" w:rsidR="001569CB" w:rsidRPr="00F3115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</w:p>
    <w:p w14:paraId="7786A2C8" w14:textId="77777777" w:rsidR="001569CB" w:rsidRPr="00F3115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</w:p>
    <w:p w14:paraId="031FD2B6" w14:textId="77777777" w:rsidR="001569CB" w:rsidRPr="00F3115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</w:p>
    <w:p w14:paraId="76E353ED" w14:textId="77777777" w:rsidR="001569CB" w:rsidRPr="00F3115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</w:p>
    <w:p w14:paraId="0A1793B4" w14:textId="77777777" w:rsidR="001569CB" w:rsidRPr="00F3115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</w:p>
    <w:p w14:paraId="458A1A76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8246F7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8246F7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72168174" w:rsidR="001569CB" w:rsidRPr="008246F7" w:rsidRDefault="008246F7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Wałbrzych, dnia 06</w:t>
      </w:r>
      <w:r w:rsidR="001569CB" w:rsidRPr="008246F7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8246F7">
        <w:rPr>
          <w:rFonts w:eastAsia="Times New Roman" w:cs="Times New Roman"/>
          <w:color w:val="auto"/>
          <w:sz w:val="20"/>
          <w:szCs w:val="20"/>
        </w:rPr>
        <w:t xml:space="preserve"> kwietnia</w:t>
      </w:r>
      <w:r w:rsidR="001569CB" w:rsidRPr="008246F7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8246F7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8246F7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8246F7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8246F7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11E3B4AF" w14:textId="77777777" w:rsidR="001569CB" w:rsidRPr="008246F7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67974A3B" w14:textId="77777777" w:rsidR="001569CB" w:rsidRPr="008246F7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8246F7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8246F7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8246F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8246F7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8246F7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84A5E77" w14:textId="56FFD130" w:rsidR="001569CB" w:rsidRPr="008246F7" w:rsidRDefault="001569CB" w:rsidP="008246F7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8246F7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8246F7" w:rsidRPr="008246F7">
        <w:rPr>
          <w:rFonts w:eastAsia="Times New Roman" w:cs="Times New Roman"/>
          <w:color w:val="auto"/>
          <w:sz w:val="20"/>
          <w:szCs w:val="20"/>
        </w:rPr>
        <w:t>z</w:t>
      </w:r>
      <w:r w:rsidR="00B80EF8" w:rsidRPr="008246F7">
        <w:rPr>
          <w:rFonts w:eastAsia="Times New Roman" w:cs="Times New Roman"/>
          <w:color w:val="auto"/>
          <w:sz w:val="20"/>
          <w:szCs w:val="20"/>
        </w:rPr>
        <w:t xml:space="preserve">akup i dostawa </w:t>
      </w:r>
      <w:r w:rsidR="008246F7" w:rsidRPr="008246F7">
        <w:rPr>
          <w:rFonts w:eastAsia="Times New Roman" w:cs="Times New Roman"/>
          <w:color w:val="auto"/>
          <w:sz w:val="20"/>
          <w:szCs w:val="20"/>
        </w:rPr>
        <w:t>wyposażenia pracowni fryzjerskiej do Zespołu Szkół Zawodowych Specjalnych w Wałbrzychu</w:t>
      </w:r>
      <w:r w:rsidR="00C900A9" w:rsidRPr="008246F7">
        <w:rPr>
          <w:rFonts w:eastAsia="Times New Roman" w:cs="Times New Roman"/>
          <w:color w:val="auto"/>
          <w:sz w:val="20"/>
          <w:szCs w:val="20"/>
        </w:rPr>
        <w:t>,</w:t>
      </w:r>
      <w:r w:rsidR="00C900A9" w:rsidRPr="008246F7">
        <w:rPr>
          <w:color w:val="auto"/>
        </w:rPr>
        <w:t xml:space="preserve"> </w:t>
      </w:r>
      <w:r w:rsidR="00C900A9" w:rsidRPr="008246F7">
        <w:rPr>
          <w:rFonts w:eastAsia="Times New Roman" w:cs="Times New Roman"/>
          <w:color w:val="auto"/>
          <w:sz w:val="20"/>
          <w:szCs w:val="20"/>
        </w:rPr>
        <w:t>zgodny ze specyfikacją opisaną w załączniku nr 2 do SIWZ.</w:t>
      </w:r>
    </w:p>
    <w:p w14:paraId="16CE5AA6" w14:textId="77777777" w:rsidR="00B80EF8" w:rsidRPr="008246F7" w:rsidRDefault="00B80EF8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58170612" w14:textId="77777777" w:rsidR="001569CB" w:rsidRPr="008246F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246F7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8246F7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780A5670" w14:textId="0291C03F" w:rsidR="008246F7" w:rsidRPr="008246F7" w:rsidRDefault="001569CB" w:rsidP="008246F7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246F7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8246F7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8246F7" w:rsidRPr="008246F7">
        <w:rPr>
          <w:rFonts w:eastAsia="Andale Sans UI" w:cs="Times New Roman"/>
          <w:color w:val="auto"/>
          <w:kern w:val="2"/>
          <w:sz w:val="20"/>
          <w:szCs w:val="20"/>
        </w:rPr>
        <w:t>wyposażenia pracowni fryzjerskiej do Zespołu Szkół Zawodowych Specjalnych w Wałbrzychu</w:t>
      </w:r>
      <w:r w:rsidR="00C900A9" w:rsidRPr="008246F7">
        <w:rPr>
          <w:rFonts w:eastAsia="Andale Sans UI" w:cs="Times New Roman"/>
          <w:color w:val="auto"/>
          <w:kern w:val="2"/>
          <w:sz w:val="20"/>
          <w:szCs w:val="20"/>
        </w:rPr>
        <w:t>, zgodny ze specyfikacją opisaną w załączniku nr 2 do SIWZ</w:t>
      </w:r>
      <w:r w:rsidR="00B80EF8" w:rsidRPr="008246F7">
        <w:rPr>
          <w:rFonts w:eastAsia="Andale Sans UI" w:cs="Times New Roman"/>
          <w:color w:val="auto"/>
          <w:kern w:val="2"/>
          <w:sz w:val="20"/>
          <w:szCs w:val="20"/>
        </w:rPr>
        <w:t xml:space="preserve">. </w:t>
      </w:r>
      <w:r w:rsidR="008246F7" w:rsidRPr="008246F7">
        <w:rPr>
          <w:rFonts w:eastAsia="Andale Sans UI" w:cs="Times New Roman"/>
          <w:color w:val="auto"/>
          <w:kern w:val="2"/>
          <w:sz w:val="20"/>
          <w:szCs w:val="20"/>
        </w:rPr>
        <w:t xml:space="preserve">Wyposażenie zgodnie z opisem w załączniku nr 2 jest uzupełnieniem posiadanej pracowni fryzjerskiej w Zespole Szkół Zawodowych Specjalnych w Wałbrzychu. </w:t>
      </w:r>
    </w:p>
    <w:p w14:paraId="11C1E5F3" w14:textId="7AEE139B" w:rsidR="00F4567F" w:rsidRPr="008246F7" w:rsidRDefault="008246F7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246F7">
        <w:rPr>
          <w:rFonts w:eastAsia="Andale Sans UI"/>
          <w:color w:val="auto"/>
          <w:kern w:val="2"/>
          <w:sz w:val="20"/>
          <w:szCs w:val="20"/>
        </w:rPr>
        <w:t>Miejsce dostawy – Zespół Szkół Zawodowych Specjalnych przy ul. Mickiewicza 24 w Wałbrzychu.</w:t>
      </w:r>
    </w:p>
    <w:p w14:paraId="63599E66" w14:textId="14E07914" w:rsidR="00B80EF8" w:rsidRPr="008246F7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246F7">
        <w:rPr>
          <w:rFonts w:eastAsia="Andale Sans UI" w:cs="Times New Roman"/>
          <w:color w:val="auto"/>
          <w:kern w:val="2"/>
          <w:sz w:val="20"/>
          <w:szCs w:val="20"/>
        </w:rPr>
        <w:t xml:space="preserve">Termin dostawy: </w:t>
      </w:r>
      <w:r w:rsidR="008246F7" w:rsidRPr="008246F7">
        <w:rPr>
          <w:rFonts w:eastAsia="Andale Sans UI" w:cs="Times New Roman"/>
          <w:color w:val="auto"/>
          <w:kern w:val="2"/>
          <w:sz w:val="20"/>
          <w:szCs w:val="20"/>
        </w:rPr>
        <w:t>do 15 czerwca</w:t>
      </w:r>
      <w:r w:rsidR="00CD678A" w:rsidRPr="008246F7">
        <w:rPr>
          <w:rFonts w:eastAsia="Andale Sans UI" w:cs="Times New Roman"/>
          <w:color w:val="auto"/>
          <w:kern w:val="2"/>
          <w:sz w:val="20"/>
          <w:szCs w:val="20"/>
        </w:rPr>
        <w:t xml:space="preserve"> 2023 roku.</w:t>
      </w:r>
    </w:p>
    <w:p w14:paraId="3C2BF290" w14:textId="77777777" w:rsidR="008F7992" w:rsidRPr="008246F7" w:rsidRDefault="008F7992" w:rsidP="0063439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</w:p>
    <w:p w14:paraId="61D2B172" w14:textId="77777777" w:rsidR="001569CB" w:rsidRPr="008246F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246F7">
        <w:rPr>
          <w:rFonts w:eastAsia="Andale Sans UI" w:cs="Times New Roman"/>
          <w:b/>
          <w:color w:val="auto"/>
          <w:kern w:val="2"/>
          <w:sz w:val="20"/>
          <w:szCs w:val="20"/>
        </w:rPr>
        <w:t>UWAGA:</w:t>
      </w:r>
    </w:p>
    <w:p w14:paraId="6AEE532E" w14:textId="3D6B82D4" w:rsidR="001569CB" w:rsidRPr="008246F7" w:rsidRDefault="001569CB" w:rsidP="00487C99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8246F7">
        <w:rPr>
          <w:rFonts w:ascii="Century Gothic" w:eastAsia="Andale Sans UI" w:hAnsi="Century Gothic"/>
          <w:kern w:val="2"/>
        </w:rPr>
        <w:t>Oferent może zawsze zaproponować produkt/y równoważne/</w:t>
      </w:r>
      <w:proofErr w:type="spellStart"/>
      <w:r w:rsidRPr="008246F7">
        <w:rPr>
          <w:rFonts w:ascii="Century Gothic" w:eastAsia="Andale Sans UI" w:hAnsi="Century Gothic"/>
          <w:kern w:val="2"/>
        </w:rPr>
        <w:t>ny</w:t>
      </w:r>
      <w:proofErr w:type="spellEnd"/>
      <w:r w:rsidRPr="008246F7">
        <w:rPr>
          <w:rFonts w:ascii="Century Gothic" w:eastAsia="Andale Sans UI" w:hAnsi="Century Gothic"/>
          <w:kern w:val="2"/>
        </w:rPr>
        <w:t xml:space="preserve"> lub tożsame z opisem. Jako równoważność Zamawiający ma na myśli produkt</w:t>
      </w:r>
      <w:r w:rsidR="008A0A19" w:rsidRPr="008246F7">
        <w:rPr>
          <w:rFonts w:ascii="Century Gothic" w:eastAsia="Andale Sans UI" w:hAnsi="Century Gothic"/>
          <w:kern w:val="2"/>
        </w:rPr>
        <w:t>, który doprowadzi do tego samego efektu końcowego ogłoszonego zapytania ofertowego.</w:t>
      </w:r>
    </w:p>
    <w:p w14:paraId="7A4AF529" w14:textId="77777777" w:rsidR="008A0A19" w:rsidRPr="008246F7" w:rsidRDefault="008A0A19" w:rsidP="008A0A19">
      <w:pPr>
        <w:pStyle w:val="Akapitzlist"/>
        <w:widowControl w:val="0"/>
        <w:suppressAutoHyphens/>
        <w:jc w:val="both"/>
        <w:rPr>
          <w:rFonts w:ascii="Century Gothic" w:eastAsia="Andale Sans UI" w:hAnsi="Century Gothic" w:cs="Arial"/>
          <w:kern w:val="2"/>
        </w:rPr>
      </w:pPr>
    </w:p>
    <w:p w14:paraId="0AA7FEE8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246F7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684A087B" w:rsidR="001569CB" w:rsidRPr="008246F7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- z</w:t>
      </w:r>
      <w:r w:rsidR="001569CB" w:rsidRPr="008246F7">
        <w:rPr>
          <w:rFonts w:eastAsia="Times New Roman" w:cs="Times New Roman"/>
          <w:color w:val="auto"/>
          <w:sz w:val="20"/>
          <w:szCs w:val="20"/>
        </w:rPr>
        <w:t xml:space="preserve">łożona oferta musi być podana w PLN, z dokładnością do dwóch miejsc po przecinku, </w:t>
      </w:r>
    </w:p>
    <w:p w14:paraId="7052EC8E" w14:textId="0D902ABF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- Zamawiają</w:t>
      </w:r>
      <w:r w:rsidR="00324A96" w:rsidRPr="008246F7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0A077391" w14:textId="3EA92E60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lastRenderedPageBreak/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5AE928F0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1770A752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242A6B12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- dostarczone zamówienie będzie wykorzystywane przez nauczycieli</w:t>
      </w:r>
      <w:r w:rsidR="008246F7" w:rsidRPr="008246F7">
        <w:rPr>
          <w:rFonts w:eastAsia="Times New Roman" w:cs="Times New Roman"/>
          <w:color w:val="auto"/>
          <w:sz w:val="20"/>
          <w:szCs w:val="20"/>
        </w:rPr>
        <w:t xml:space="preserve"> w</w:t>
      </w:r>
      <w:r w:rsidR="00CD678A" w:rsidRPr="008246F7">
        <w:rPr>
          <w:rFonts w:eastAsia="Times New Roman" w:cs="Times New Roman"/>
          <w:color w:val="auto"/>
          <w:sz w:val="20"/>
          <w:szCs w:val="20"/>
        </w:rPr>
        <w:t xml:space="preserve"> Zespole Szkół Zawodowych Specjalnych w Wałbrzychu</w:t>
      </w:r>
      <w:r w:rsidRPr="008246F7">
        <w:rPr>
          <w:rFonts w:eastAsia="Times New Roman" w:cs="Times New Roman"/>
          <w:color w:val="auto"/>
          <w:sz w:val="20"/>
          <w:szCs w:val="20"/>
        </w:rPr>
        <w:t xml:space="preserve"> do nauki przedmiotów </w:t>
      </w:r>
      <w:r w:rsidR="00CD678A" w:rsidRPr="008246F7">
        <w:rPr>
          <w:rFonts w:eastAsia="Times New Roman" w:cs="Times New Roman"/>
          <w:color w:val="auto"/>
          <w:sz w:val="20"/>
          <w:szCs w:val="20"/>
        </w:rPr>
        <w:t>zawodu,</w:t>
      </w:r>
    </w:p>
    <w:p w14:paraId="55124364" w14:textId="46A01EE6" w:rsidR="001569CB" w:rsidRPr="008246F7" w:rsidRDefault="008246F7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- oferowany</w:t>
      </w:r>
      <w:r w:rsidR="00CD678A" w:rsidRPr="008246F7">
        <w:rPr>
          <w:rFonts w:eastAsia="Times New Roman" w:cs="Times New Roman"/>
          <w:color w:val="auto"/>
          <w:sz w:val="20"/>
          <w:szCs w:val="20"/>
        </w:rPr>
        <w:t xml:space="preserve"> sprzęt musi być wolny</w:t>
      </w:r>
      <w:r w:rsidR="001569CB" w:rsidRPr="008246F7">
        <w:rPr>
          <w:rFonts w:eastAsia="Times New Roman" w:cs="Times New Roman"/>
          <w:color w:val="auto"/>
          <w:sz w:val="20"/>
          <w:szCs w:val="20"/>
        </w:rPr>
        <w:t xml:space="preserve"> od obciążeń prawami osób trzecich,</w:t>
      </w:r>
    </w:p>
    <w:p w14:paraId="38B0345C" w14:textId="1C250E39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 xml:space="preserve">- całość dostarczonego </w:t>
      </w:r>
      <w:r w:rsidR="008A0A19" w:rsidRPr="008246F7">
        <w:rPr>
          <w:rFonts w:eastAsia="Times New Roman" w:cs="Times New Roman"/>
          <w:color w:val="auto"/>
          <w:sz w:val="20"/>
          <w:szCs w:val="20"/>
        </w:rPr>
        <w:t>zamówienia</w:t>
      </w:r>
      <w:r w:rsidRPr="008246F7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</w:t>
      </w:r>
      <w:r w:rsidR="00CD678A" w:rsidRPr="008246F7">
        <w:rPr>
          <w:rFonts w:eastAsia="Times New Roman" w:cs="Times New Roman"/>
          <w:color w:val="auto"/>
          <w:sz w:val="20"/>
          <w:szCs w:val="20"/>
        </w:rPr>
        <w:t>sprzętu</w:t>
      </w:r>
      <w:r w:rsidRPr="008246F7">
        <w:rPr>
          <w:rFonts w:eastAsia="Times New Roman" w:cs="Times New Roman"/>
          <w:color w:val="auto"/>
          <w:sz w:val="20"/>
          <w:szCs w:val="20"/>
        </w:rPr>
        <w:t>,</w:t>
      </w:r>
    </w:p>
    <w:p w14:paraId="4DFD7824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E3470D4" w14:textId="200C9C74" w:rsidR="001569CB" w:rsidRPr="008246F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</w:t>
      </w:r>
      <w:r w:rsidR="008246F7">
        <w:rPr>
          <w:rFonts w:eastAsia="Times New Roman" w:cs="Times New Roman"/>
          <w:color w:val="auto"/>
          <w:sz w:val="20"/>
          <w:szCs w:val="20"/>
        </w:rPr>
        <w:t xml:space="preserve">karty gwarancyjne </w:t>
      </w:r>
      <w:r w:rsidRPr="008246F7">
        <w:rPr>
          <w:rFonts w:eastAsia="Times New Roman" w:cs="Times New Roman"/>
          <w:color w:val="auto"/>
          <w:sz w:val="20"/>
          <w:szCs w:val="20"/>
        </w:rPr>
        <w:t xml:space="preserve">zgodnie z </w:t>
      </w:r>
      <w:r w:rsidRPr="008246F7">
        <w:rPr>
          <w:rFonts w:eastAsia="Times New Roman" w:cs="Times New Roman"/>
          <w:b/>
          <w:color w:val="auto"/>
          <w:sz w:val="20"/>
          <w:szCs w:val="20"/>
        </w:rPr>
        <w:t>zamówieniem w wersji papierowej,</w:t>
      </w:r>
    </w:p>
    <w:p w14:paraId="3CD97046" w14:textId="4548CD5F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246F7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8246F7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8246F7">
        <w:rPr>
          <w:rFonts w:eastAsia="Times New Roman" w:cs="Times New Roman"/>
          <w:color w:val="auto"/>
          <w:sz w:val="20"/>
          <w:szCs w:val="20"/>
        </w:rPr>
        <w:t xml:space="preserve">, szczegóły związane z dostawą </w:t>
      </w:r>
      <w:r w:rsidR="008A0A19" w:rsidRPr="008246F7">
        <w:rPr>
          <w:rFonts w:eastAsia="Times New Roman" w:cs="Times New Roman"/>
          <w:color w:val="auto"/>
          <w:sz w:val="20"/>
          <w:szCs w:val="20"/>
        </w:rPr>
        <w:t>zamówienia do</w:t>
      </w:r>
      <w:r w:rsidRPr="008246F7">
        <w:rPr>
          <w:rFonts w:eastAsia="Times New Roman" w:cs="Times New Roman"/>
          <w:color w:val="auto"/>
          <w:sz w:val="20"/>
          <w:szCs w:val="20"/>
        </w:rPr>
        <w:t xml:space="preserve"> pracowni będą ustalane indywidualnie </w:t>
      </w:r>
      <w:r w:rsidRPr="008246F7">
        <w:rPr>
          <w:rFonts w:eastAsia="Times New Roman" w:cs="Times New Roman"/>
          <w:color w:val="auto"/>
          <w:sz w:val="20"/>
          <w:szCs w:val="20"/>
        </w:rPr>
        <w:br/>
        <w:t>z oferentem. Zmiany warunków dostawy w tym zakresie nie mogą wpływać na zwiększenie ceny  zakupionych produktów w przedstawionej ofercie w złożonym formularzu ofertowym.</w:t>
      </w:r>
    </w:p>
    <w:p w14:paraId="7CB4FF9F" w14:textId="77777777" w:rsidR="001569CB" w:rsidRPr="008246F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4A25B1DA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246F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IV.1.4) Czy </w:t>
      </w:r>
      <w:r w:rsidRPr="008D697A">
        <w:rPr>
          <w:rFonts w:eastAsia="Andale Sans UI" w:cs="Times New Roman"/>
          <w:b/>
          <w:color w:val="auto"/>
          <w:kern w:val="2"/>
          <w:sz w:val="20"/>
          <w:szCs w:val="20"/>
        </w:rPr>
        <w:t>przewiduje się udzielenie zamówień uzupełniających:</w:t>
      </w:r>
      <w:r w:rsidRPr="008D697A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</w:t>
      </w:r>
      <w:r w:rsidR="008246F7" w:rsidRPr="008D697A">
        <w:rPr>
          <w:rFonts w:eastAsia="Andale Sans UI" w:cs="Times New Roman"/>
          <w:color w:val="auto"/>
          <w:kern w:val="2"/>
          <w:sz w:val="20"/>
          <w:szCs w:val="20"/>
        </w:rPr>
        <w:t xml:space="preserve">zwiększenia </w:t>
      </w:r>
      <w:r w:rsidR="008246F7" w:rsidRPr="00197FBA">
        <w:rPr>
          <w:rFonts w:eastAsia="Andale Sans UI" w:cs="Times New Roman"/>
          <w:color w:val="auto"/>
          <w:kern w:val="2"/>
          <w:sz w:val="20"/>
          <w:szCs w:val="20"/>
        </w:rPr>
        <w:t>zapotrzebowania do 5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>0% łącznej wartości zamówienia.</w:t>
      </w:r>
    </w:p>
    <w:p w14:paraId="3BC20234" w14:textId="77777777" w:rsidR="001569CB" w:rsidRPr="00197FBA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97FBA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197FBA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CE2621" w14:textId="7B76D06F" w:rsidR="008246F7" w:rsidRPr="00197FBA" w:rsidRDefault="008246F7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97FBA">
        <w:rPr>
          <w:rFonts w:eastAsia="Times New Roman" w:cs="Times New Roman"/>
          <w:color w:val="auto"/>
          <w:sz w:val="20"/>
          <w:szCs w:val="20"/>
        </w:rPr>
        <w:t>39712200-8 Urządzenia fryzjerskie</w:t>
      </w:r>
    </w:p>
    <w:p w14:paraId="3900561B" w14:textId="5FE0DA78" w:rsidR="008246F7" w:rsidRPr="00197FBA" w:rsidRDefault="008246F7" w:rsidP="008246F7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97FBA">
        <w:rPr>
          <w:rFonts w:eastAsia="Times New Roman" w:cs="Times New Roman"/>
          <w:color w:val="auto"/>
          <w:sz w:val="20"/>
          <w:szCs w:val="20"/>
        </w:rPr>
        <w:t>39712210-1</w:t>
      </w:r>
      <w:r w:rsidRPr="00197FBA">
        <w:rPr>
          <w:rFonts w:eastAsia="Times New Roman" w:cs="Times New Roman"/>
          <w:color w:val="auto"/>
          <w:sz w:val="20"/>
          <w:szCs w:val="20"/>
        </w:rPr>
        <w:t xml:space="preserve"> Suszarki do włosów</w:t>
      </w:r>
    </w:p>
    <w:p w14:paraId="44A5C444" w14:textId="3682188E" w:rsidR="008D697A" w:rsidRPr="00197FBA" w:rsidRDefault="008D697A" w:rsidP="008D697A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97FBA">
        <w:rPr>
          <w:rFonts w:eastAsia="Times New Roman" w:cs="Times New Roman"/>
          <w:color w:val="auto"/>
          <w:sz w:val="20"/>
          <w:szCs w:val="20"/>
        </w:rPr>
        <w:t>33711600-3</w:t>
      </w:r>
      <w:r w:rsidRPr="00197FBA">
        <w:rPr>
          <w:rFonts w:eastAsia="Times New Roman" w:cs="Times New Roman"/>
          <w:color w:val="auto"/>
          <w:sz w:val="20"/>
          <w:szCs w:val="20"/>
        </w:rPr>
        <w:t xml:space="preserve"> Preparaty i artykuły do włosów</w:t>
      </w:r>
    </w:p>
    <w:p w14:paraId="5CF42C30" w14:textId="77777777" w:rsidR="008246F7" w:rsidRPr="00197FBA" w:rsidRDefault="008246F7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6ED1F1" w14:textId="36893898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5AA17794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197FBA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do 15</w:t>
      </w:r>
      <w:r w:rsidR="0077691A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197FBA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czerwca </w:t>
      </w:r>
      <w:r w:rsidR="008A0A19" w:rsidRPr="00197FBA">
        <w:rPr>
          <w:rFonts w:eastAsia="Andale Sans UI" w:cs="Times New Roman"/>
          <w:color w:val="auto"/>
          <w:kern w:val="2"/>
          <w:sz w:val="20"/>
          <w:szCs w:val="20"/>
        </w:rPr>
        <w:t>2023 roku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197FBA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197FBA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51223547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197FBA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V.2) WARUNKI UDZIAŁU W POSTĘPOWANIU ORAZ OPIS SPOSOBU DOKONYWANIA OCENY SPEŁNIANIA TYCH 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WARUNKÓW</w:t>
      </w:r>
    </w:p>
    <w:p w14:paraId="292867C9" w14:textId="77777777" w:rsidR="001569CB" w:rsidRPr="00197FBA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197FBA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197FBA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2E91D142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197FBA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6A0841E" w14:textId="77777777" w:rsidR="001569CB" w:rsidRPr="00197FBA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6F959C7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197FBA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197FBA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197FBA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197FBA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197FBA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197FBA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197FBA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11F7888C" w:rsidR="001569CB" w:rsidRPr="00197FBA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197FBA">
        <w:rPr>
          <w:rFonts w:eastAsia="Andale Sans UI"/>
          <w:color w:val="auto"/>
          <w:kern w:val="2"/>
          <w:sz w:val="20"/>
          <w:szCs w:val="20"/>
        </w:rPr>
        <w:br/>
        <w:t xml:space="preserve">z Zamawiającym  - zgodnie </w:t>
      </w:r>
      <w:r w:rsidR="00CD678A" w:rsidRPr="00197FBA">
        <w:rPr>
          <w:rFonts w:eastAsia="Andale Sans UI"/>
          <w:color w:val="auto"/>
          <w:kern w:val="2"/>
          <w:sz w:val="20"/>
          <w:szCs w:val="20"/>
        </w:rPr>
        <w:t>z treścią załącznika nr 3</w:t>
      </w:r>
      <w:r w:rsidRPr="00197FBA">
        <w:rPr>
          <w:rFonts w:eastAsia="Andale Sans UI"/>
          <w:color w:val="auto"/>
          <w:kern w:val="2"/>
          <w:sz w:val="20"/>
          <w:szCs w:val="20"/>
        </w:rPr>
        <w:t>.</w:t>
      </w:r>
    </w:p>
    <w:p w14:paraId="392C13AA" w14:textId="4ABA7E18" w:rsidR="001569CB" w:rsidRPr="00197FBA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CD678A" w:rsidRPr="00197FBA">
        <w:rPr>
          <w:rFonts w:eastAsia="Andale Sans UI"/>
          <w:color w:val="auto"/>
          <w:kern w:val="2"/>
          <w:sz w:val="20"/>
          <w:szCs w:val="20"/>
        </w:rPr>
        <w:t>godnie z treścią załącznika nr 6</w:t>
      </w:r>
      <w:r w:rsidRPr="00197FBA">
        <w:rPr>
          <w:rFonts w:eastAsia="Andale Sans UI"/>
          <w:color w:val="auto"/>
          <w:kern w:val="2"/>
          <w:sz w:val="20"/>
          <w:szCs w:val="20"/>
        </w:rPr>
        <w:t>.</w:t>
      </w:r>
    </w:p>
    <w:p w14:paraId="6AFB2251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197FBA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6F842CCB" w14:textId="5C4D3668" w:rsidR="00CD678A" w:rsidRPr="00197FBA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 nr 2 –</w:t>
      </w:r>
      <w:r w:rsidR="006D7972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SIWZ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7E6826A1" w14:textId="788E7B46" w:rsidR="001569CB" w:rsidRPr="00197FBA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1569CB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1569CB" w:rsidRPr="00197FBA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197FBA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197FBA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197FBA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197FBA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0C50BB88" w:rsidR="001569CB" w:rsidRPr="00197FBA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Załączniki nr 4</w:t>
      </w:r>
      <w:r w:rsidR="001569CB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5AD8709F" w14:textId="29DEE3CD" w:rsidR="001569CB" w:rsidRPr="00197FBA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3C655EBA" w14:textId="396A13AE" w:rsidR="001569CB" w:rsidRPr="00197FBA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Europejskiej;</w:t>
      </w:r>
    </w:p>
    <w:p w14:paraId="17EFCCAE" w14:textId="4DF08814" w:rsidR="001569CB" w:rsidRPr="00197FBA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44AF12A6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0B6B4DF6" w14:textId="77777777" w:rsidR="001569CB" w:rsidRPr="00197FBA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197FBA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197FBA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3DCB5DDB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3DDC669C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197FBA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197FBA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197FBA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77777777" w:rsidR="001569CB" w:rsidRPr="00197FBA" w:rsidRDefault="001569CB" w:rsidP="00317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696F4C7" w14:textId="77777777" w:rsidR="001569CB" w:rsidRPr="00197FBA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197FBA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97FBA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77777777" w:rsidR="001569CB" w:rsidRPr="00197FBA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197FBA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197FBA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197FBA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DE493F7" w14:textId="77777777" w:rsidR="001569CB" w:rsidRPr="00197FBA" w:rsidRDefault="001569CB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97FBA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550D43E5" w14:textId="77777777" w:rsidR="001569CB" w:rsidRPr="00197FBA" w:rsidRDefault="001569CB" w:rsidP="00317572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77777777" w:rsidR="001569CB" w:rsidRPr="00197FBA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Termin płatności z zachowaniem minimum 30 dni lub więcej – wartość wagowa oceny 20%, na podstawie druku nr 1 (załącznik nr 1)</w:t>
      </w:r>
    </w:p>
    <w:p w14:paraId="0B53747F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7AA34E02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197FBA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197FBA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197FBA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197FBA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3F206C90" w14:textId="77777777" w:rsidR="001569CB" w:rsidRPr="00197FBA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197FBA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197FBA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197FBA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197FBA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197FBA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197FBA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5879D24" w14:textId="77777777" w:rsidR="001569CB" w:rsidRPr="00197FBA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77777777" w:rsidR="001569CB" w:rsidRPr="00197FBA" w:rsidRDefault="001569CB" w:rsidP="00487C99">
      <w:pPr>
        <w:numPr>
          <w:ilvl w:val="0"/>
          <w:numId w:val="13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197FBA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197FBA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3BF51196" w:rsidR="001569CB" w:rsidRPr="00197FBA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197FB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do 14</w:t>
      </w:r>
      <w:r w:rsidR="0077691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197FB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15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197FBA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08B203E7" w:rsidR="001569CB" w:rsidRPr="00197FBA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197FBA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197FBA" w:rsidRPr="00197FBA">
        <w:rPr>
          <w:rFonts w:eastAsia="Andale Sans UI"/>
          <w:b/>
          <w:color w:val="auto"/>
          <w:kern w:val="2"/>
          <w:sz w:val="20"/>
          <w:szCs w:val="20"/>
        </w:rPr>
        <w:t>OZK/10</w:t>
      </w:r>
      <w:r w:rsidRPr="00197FBA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77691A" w:rsidRPr="00197FBA">
        <w:rPr>
          <w:rFonts w:eastAsia="Andale Sans UI"/>
          <w:b/>
          <w:color w:val="auto"/>
          <w:kern w:val="2"/>
          <w:sz w:val="20"/>
          <w:szCs w:val="20"/>
        </w:rPr>
        <w:t>I</w:t>
      </w:r>
      <w:r w:rsidR="00197FBA" w:rsidRPr="00197FBA">
        <w:rPr>
          <w:rFonts w:eastAsia="Andale Sans UI"/>
          <w:b/>
          <w:color w:val="auto"/>
          <w:kern w:val="2"/>
          <w:sz w:val="20"/>
          <w:szCs w:val="20"/>
        </w:rPr>
        <w:t>V</w:t>
      </w:r>
      <w:r w:rsidRPr="00197FBA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197FBA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197FBA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197FBA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197FBA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197FBA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197FBA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21AB36C1" w:rsidR="001569CB" w:rsidRPr="00197FBA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CD678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21</w:t>
      </w:r>
      <w:r w:rsidR="0077691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197FBA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197FBA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197FBA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197FBA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197FBA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197FBA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197FBA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Pr="00197FBA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Pr="00197FBA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09F27086" w:rsidR="00324A96" w:rsidRPr="00197FBA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>- wskazanie w formularzu ofertowym ilości dni poniżej 30 powoduje automatyczne odrzucenie oferty,</w:t>
      </w:r>
    </w:p>
    <w:p w14:paraId="4615A763" w14:textId="77777777" w:rsidR="001569CB" w:rsidRPr="00197FBA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197FBA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197FBA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197FBA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00E5BE7E" w:rsidR="001569CB" w:rsidRPr="00197FBA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197FBA">
        <w:rPr>
          <w:color w:val="auto"/>
          <w:sz w:val="20"/>
          <w:szCs w:val="20"/>
        </w:rPr>
        <w:t xml:space="preserve"> 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197FB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13</w:t>
      </w:r>
      <w:r w:rsidR="0077691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5F84BC11" w:rsidR="001569CB" w:rsidRPr="00197FBA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CD678A" w:rsidRPr="00197FBA">
          <w:rPr>
            <w:rStyle w:val="Hipercze"/>
            <w:rFonts w:eastAsia="Andale Sans UI" w:cs="Times New Roman"/>
            <w:color w:val="auto"/>
            <w:kern w:val="2"/>
            <w:sz w:val="20"/>
            <w:szCs w:val="20"/>
            <w:u w:val="none"/>
          </w:rPr>
          <w:t>bozena@fee.org.pl</w:t>
        </w:r>
      </w:hyperlink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197FB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ZOZK/10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77691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I</w:t>
      </w:r>
      <w:r w:rsidR="00197FB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6A1D7903" w:rsidR="001569CB" w:rsidRPr="00197FBA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197FB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11</w:t>
      </w:r>
      <w:r w:rsidR="0077691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.2023 roku do godz. 23:00.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197FB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dnia 11</w:t>
      </w:r>
      <w:r w:rsidR="0077691A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.2023 roku od godz. 23:01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197FBA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197FBA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197FBA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A1BFE4A" w14:textId="77777777" w:rsidR="001569CB" w:rsidRPr="00197FBA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197FBA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197FBA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2FF917AB" w:rsidR="001569CB" w:rsidRPr="00197FBA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EF6E51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do dnia 2</w:t>
      </w:r>
      <w:r w:rsidR="008C06EB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4</w:t>
      </w:r>
      <w:r w:rsidR="00EF6E51"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197FBA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197FBA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197FBA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197FBA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197FBA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197FBA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bookmarkStart w:id="0" w:name="_GoBack"/>
      <w:bookmarkEnd w:id="0"/>
      <w:r w:rsidRPr="00197FBA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197FBA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35A31CF4" w14:textId="2F721860" w:rsidR="005C0CF5" w:rsidRPr="00197FBA" w:rsidRDefault="005C0CF5" w:rsidP="005C0CF5">
      <w:pPr>
        <w:pStyle w:val="Akapitzlist"/>
        <w:numPr>
          <w:ilvl w:val="0"/>
          <w:numId w:val="10"/>
        </w:numPr>
        <w:rPr>
          <w:rFonts w:ascii="Century Gothic" w:eastAsia="Andale Sans UI" w:hAnsi="Century Gothic"/>
          <w:kern w:val="2"/>
        </w:rPr>
      </w:pPr>
      <w:r w:rsidRPr="00197FBA">
        <w:rPr>
          <w:rFonts w:ascii="Century Gothic" w:eastAsia="Andale Sans UI" w:hAnsi="Century Gothic"/>
          <w:kern w:val="2"/>
        </w:rPr>
        <w:t xml:space="preserve">ZAŁĄCZNIK NR 2 - </w:t>
      </w:r>
      <w:r w:rsidR="006D7972" w:rsidRPr="00197FBA">
        <w:rPr>
          <w:rFonts w:ascii="Century Gothic" w:eastAsia="Andale Sans UI" w:hAnsi="Century Gothic"/>
          <w:kern w:val="2"/>
        </w:rPr>
        <w:t>SIWZ</w:t>
      </w:r>
      <w:r w:rsidRPr="00197FBA">
        <w:rPr>
          <w:rFonts w:ascii="Century Gothic" w:eastAsia="Andale Sans UI" w:hAnsi="Century Gothic"/>
          <w:kern w:val="2"/>
        </w:rPr>
        <w:t>;</w:t>
      </w:r>
    </w:p>
    <w:p w14:paraId="531489F2" w14:textId="41BD33B8" w:rsidR="001569CB" w:rsidRPr="00197FBA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5C0CF5" w:rsidRPr="00197FBA">
        <w:rPr>
          <w:rFonts w:eastAsia="Andale Sans UI" w:cs="Times New Roman"/>
          <w:color w:val="auto"/>
          <w:kern w:val="2"/>
          <w:sz w:val="20"/>
          <w:szCs w:val="20"/>
        </w:rPr>
        <w:t>AŁĄCZNIK NR 3</w:t>
      </w:r>
      <w:r w:rsidR="001569CB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o braku powiązania osobowego lub kapitałowego z Zamawiającym;</w:t>
      </w:r>
    </w:p>
    <w:p w14:paraId="55FCE1EE" w14:textId="524EAF88" w:rsidR="001569CB" w:rsidRPr="00197FBA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="005C0CF5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4</w:t>
      </w:r>
      <w:r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61743935" w14:textId="2B5B4A47" w:rsidR="001569CB" w:rsidRPr="00197FBA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2C3869D" w14:textId="13D88F0E" w:rsidR="001569CB" w:rsidRPr="00197FBA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dotyczące zakazu udziału rosyjskich wykonawców w zamówieniach publicznych i koncesjach udzielanych w państwach członkowskich Unii Europejskiej;</w:t>
      </w:r>
    </w:p>
    <w:p w14:paraId="620FFF23" w14:textId="4A995B25" w:rsidR="001569CB" w:rsidRPr="00197FBA" w:rsidRDefault="005C0CF5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197FBA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197FBA">
        <w:rPr>
          <w:rFonts w:eastAsia="Andale Sans UI" w:cs="Times New Roman"/>
          <w:color w:val="auto"/>
          <w:kern w:val="2"/>
          <w:sz w:val="20"/>
          <w:szCs w:val="20"/>
        </w:rPr>
        <w:t xml:space="preserve"> - Wzór umowy (zaparafowany i podpisany).</w:t>
      </w:r>
    </w:p>
    <w:p w14:paraId="1ABBD435" w14:textId="77777777" w:rsidR="001569CB" w:rsidRPr="00197FBA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1569CB" w:rsidRPr="00197FBA" w:rsidSect="00BE4AFE">
      <w:footerReference w:type="default" r:id="rId12"/>
      <w:headerReference w:type="first" r:id="rId13"/>
      <w:footerReference w:type="first" r:id="rId14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FBA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197FBA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C7F"/>
    <w:multiLevelType w:val="hybridMultilevel"/>
    <w:tmpl w:val="6A8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D1E2069"/>
    <w:multiLevelType w:val="hybridMultilevel"/>
    <w:tmpl w:val="F4EE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248F"/>
    <w:multiLevelType w:val="hybridMultilevel"/>
    <w:tmpl w:val="7C52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2356E4"/>
    <w:multiLevelType w:val="hybridMultilevel"/>
    <w:tmpl w:val="F61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3233D"/>
    <w:multiLevelType w:val="hybridMultilevel"/>
    <w:tmpl w:val="60BEE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18"/>
  </w:num>
  <w:num w:numId="19">
    <w:abstractNumId w:val="6"/>
  </w:num>
  <w:num w:numId="20">
    <w:abstractNumId w:val="8"/>
  </w:num>
  <w:num w:numId="21">
    <w:abstractNumId w:val="10"/>
  </w:num>
  <w:num w:numId="2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235B0"/>
    <w:rsid w:val="00026706"/>
    <w:rsid w:val="00050D9D"/>
    <w:rsid w:val="00054C7D"/>
    <w:rsid w:val="000636C6"/>
    <w:rsid w:val="00073FCC"/>
    <w:rsid w:val="000A65A4"/>
    <w:rsid w:val="000B7012"/>
    <w:rsid w:val="000D23A0"/>
    <w:rsid w:val="000E28CF"/>
    <w:rsid w:val="000E2ECC"/>
    <w:rsid w:val="001106FD"/>
    <w:rsid w:val="00116D05"/>
    <w:rsid w:val="00116FFD"/>
    <w:rsid w:val="00143E9B"/>
    <w:rsid w:val="001569CB"/>
    <w:rsid w:val="00197FBA"/>
    <w:rsid w:val="001A54D2"/>
    <w:rsid w:val="001B1DBF"/>
    <w:rsid w:val="001B30C8"/>
    <w:rsid w:val="002205FD"/>
    <w:rsid w:val="002369B5"/>
    <w:rsid w:val="002450EF"/>
    <w:rsid w:val="00247EC4"/>
    <w:rsid w:val="00270698"/>
    <w:rsid w:val="00275D79"/>
    <w:rsid w:val="00282C88"/>
    <w:rsid w:val="003002E8"/>
    <w:rsid w:val="003020E3"/>
    <w:rsid w:val="00317572"/>
    <w:rsid w:val="00324A96"/>
    <w:rsid w:val="00331FD8"/>
    <w:rsid w:val="003320E9"/>
    <w:rsid w:val="00336FFD"/>
    <w:rsid w:val="00342636"/>
    <w:rsid w:val="00383B71"/>
    <w:rsid w:val="0038796E"/>
    <w:rsid w:val="00396FBA"/>
    <w:rsid w:val="003A7CA3"/>
    <w:rsid w:val="003B3FE1"/>
    <w:rsid w:val="003B605D"/>
    <w:rsid w:val="003D609D"/>
    <w:rsid w:val="003F6F7F"/>
    <w:rsid w:val="004052DC"/>
    <w:rsid w:val="00412F94"/>
    <w:rsid w:val="004152B1"/>
    <w:rsid w:val="00437D57"/>
    <w:rsid w:val="00442525"/>
    <w:rsid w:val="004425FA"/>
    <w:rsid w:val="00447EB5"/>
    <w:rsid w:val="004527C9"/>
    <w:rsid w:val="00487C99"/>
    <w:rsid w:val="004B23FE"/>
    <w:rsid w:val="004D6BF8"/>
    <w:rsid w:val="004F4913"/>
    <w:rsid w:val="004F4930"/>
    <w:rsid w:val="00544414"/>
    <w:rsid w:val="0054571A"/>
    <w:rsid w:val="005613FF"/>
    <w:rsid w:val="00595C4D"/>
    <w:rsid w:val="005A6AA7"/>
    <w:rsid w:val="005B70E8"/>
    <w:rsid w:val="005C0CF5"/>
    <w:rsid w:val="005C196F"/>
    <w:rsid w:val="005E59D2"/>
    <w:rsid w:val="006019BE"/>
    <w:rsid w:val="00620EDF"/>
    <w:rsid w:val="00621221"/>
    <w:rsid w:val="0062738B"/>
    <w:rsid w:val="0063439F"/>
    <w:rsid w:val="006560B6"/>
    <w:rsid w:val="006869A1"/>
    <w:rsid w:val="006A1171"/>
    <w:rsid w:val="006D6691"/>
    <w:rsid w:val="006D7972"/>
    <w:rsid w:val="006E6731"/>
    <w:rsid w:val="00714613"/>
    <w:rsid w:val="00746385"/>
    <w:rsid w:val="00746BF6"/>
    <w:rsid w:val="007472A5"/>
    <w:rsid w:val="00755567"/>
    <w:rsid w:val="0077691A"/>
    <w:rsid w:val="00780EBA"/>
    <w:rsid w:val="00795BF3"/>
    <w:rsid w:val="007A22C8"/>
    <w:rsid w:val="007C5327"/>
    <w:rsid w:val="007C5B72"/>
    <w:rsid w:val="007D01AB"/>
    <w:rsid w:val="007D063D"/>
    <w:rsid w:val="008246F7"/>
    <w:rsid w:val="008275BB"/>
    <w:rsid w:val="008441AC"/>
    <w:rsid w:val="008A0A19"/>
    <w:rsid w:val="008C06EB"/>
    <w:rsid w:val="008C52A7"/>
    <w:rsid w:val="008D0805"/>
    <w:rsid w:val="008D697A"/>
    <w:rsid w:val="008E072F"/>
    <w:rsid w:val="008E0C67"/>
    <w:rsid w:val="008E2F1E"/>
    <w:rsid w:val="008F7992"/>
    <w:rsid w:val="00923013"/>
    <w:rsid w:val="00925210"/>
    <w:rsid w:val="00925803"/>
    <w:rsid w:val="00943C7F"/>
    <w:rsid w:val="00965ADC"/>
    <w:rsid w:val="0098794E"/>
    <w:rsid w:val="00987E3E"/>
    <w:rsid w:val="00997474"/>
    <w:rsid w:val="009A2890"/>
    <w:rsid w:val="009C3F7C"/>
    <w:rsid w:val="009C5EDB"/>
    <w:rsid w:val="009C74A2"/>
    <w:rsid w:val="009D3135"/>
    <w:rsid w:val="009E6192"/>
    <w:rsid w:val="00A4223F"/>
    <w:rsid w:val="00A46CB7"/>
    <w:rsid w:val="00A73E10"/>
    <w:rsid w:val="00AC03A1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0EF8"/>
    <w:rsid w:val="00B86001"/>
    <w:rsid w:val="00B90043"/>
    <w:rsid w:val="00B90547"/>
    <w:rsid w:val="00BA135A"/>
    <w:rsid w:val="00BB55CC"/>
    <w:rsid w:val="00BD1DA5"/>
    <w:rsid w:val="00BE1ECA"/>
    <w:rsid w:val="00BE4AFE"/>
    <w:rsid w:val="00C30F07"/>
    <w:rsid w:val="00C31F51"/>
    <w:rsid w:val="00C50BF5"/>
    <w:rsid w:val="00C63A3E"/>
    <w:rsid w:val="00C7649F"/>
    <w:rsid w:val="00C77E32"/>
    <w:rsid w:val="00C900A9"/>
    <w:rsid w:val="00CD233B"/>
    <w:rsid w:val="00CD678A"/>
    <w:rsid w:val="00CE1E35"/>
    <w:rsid w:val="00CE2273"/>
    <w:rsid w:val="00CE764B"/>
    <w:rsid w:val="00CF0017"/>
    <w:rsid w:val="00D10A7C"/>
    <w:rsid w:val="00D11852"/>
    <w:rsid w:val="00D15689"/>
    <w:rsid w:val="00D46662"/>
    <w:rsid w:val="00D64CCF"/>
    <w:rsid w:val="00D8392C"/>
    <w:rsid w:val="00D97986"/>
    <w:rsid w:val="00DB25CC"/>
    <w:rsid w:val="00DC17E1"/>
    <w:rsid w:val="00DE325F"/>
    <w:rsid w:val="00DE443B"/>
    <w:rsid w:val="00DE5109"/>
    <w:rsid w:val="00E47558"/>
    <w:rsid w:val="00E51DDB"/>
    <w:rsid w:val="00E56C72"/>
    <w:rsid w:val="00EE4D62"/>
    <w:rsid w:val="00EF1E5B"/>
    <w:rsid w:val="00EF6E51"/>
    <w:rsid w:val="00F31155"/>
    <w:rsid w:val="00F33E67"/>
    <w:rsid w:val="00F34A67"/>
    <w:rsid w:val="00F37E5E"/>
    <w:rsid w:val="00F42F59"/>
    <w:rsid w:val="00F4567F"/>
    <w:rsid w:val="00F633E6"/>
    <w:rsid w:val="00F82907"/>
    <w:rsid w:val="00F85176"/>
    <w:rsid w:val="00F94E26"/>
    <w:rsid w:val="00F95F85"/>
    <w:rsid w:val="00FA66D3"/>
    <w:rsid w:val="00FB1339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7305-ECD1-45C5-B25B-355A7E9D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2760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2023-03-30T04:21:00Z</cp:lastPrinted>
  <dcterms:created xsi:type="dcterms:W3CDTF">2023-04-06T08:07:00Z</dcterms:created>
  <dcterms:modified xsi:type="dcterms:W3CDTF">2023-04-06T08:21:00Z</dcterms:modified>
</cp:coreProperties>
</file>